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ind w:left="720" w:firstLine="0"/>
        <w:jc w:val="left"/>
        <w:rPr>
          <w:b w:val="1"/>
          <w:sz w:val="28"/>
          <w:szCs w:val="28"/>
        </w:rPr>
      </w:pPr>
      <w:r w:rsidDel="00000000" w:rsidR="00000000" w:rsidRPr="00000000">
        <w:rPr>
          <w:rtl w:val="0"/>
        </w:rPr>
      </w:r>
    </w:p>
    <w:p w:rsidR="00000000" w:rsidDel="00000000" w:rsidP="00000000" w:rsidRDefault="00000000" w:rsidRPr="00000000" w14:paraId="00000003">
      <w:pPr>
        <w:ind w:left="720" w:firstLine="0"/>
        <w:jc w:val="center"/>
        <w:rPr>
          <w:b w:val="1"/>
          <w:sz w:val="28"/>
          <w:szCs w:val="28"/>
        </w:rPr>
      </w:pPr>
      <w:r w:rsidDel="00000000" w:rsidR="00000000" w:rsidRPr="00000000">
        <w:rPr>
          <w:b w:val="1"/>
          <w:sz w:val="28"/>
          <w:szCs w:val="28"/>
          <w:rtl w:val="0"/>
        </w:rPr>
        <w:t xml:space="preserve">Wizards of the Coast y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se unen para impulsar el entretenimiento del </w:t>
      </w:r>
      <w:r w:rsidDel="00000000" w:rsidR="00000000" w:rsidRPr="00000000">
        <w:rPr>
          <w:b w:val="1"/>
          <w:i w:val="1"/>
          <w:sz w:val="28"/>
          <w:szCs w:val="28"/>
          <w:rtl w:val="0"/>
        </w:rPr>
        <w:t xml:space="preserve">trading card game</w:t>
      </w:r>
      <w:r w:rsidDel="00000000" w:rsidR="00000000" w:rsidRPr="00000000">
        <w:rPr>
          <w:b w:val="1"/>
          <w:sz w:val="28"/>
          <w:szCs w:val="28"/>
          <w:rtl w:val="0"/>
        </w:rPr>
        <w:t xml:space="preserve"> y </w:t>
      </w:r>
      <w:r w:rsidDel="00000000" w:rsidR="00000000" w:rsidRPr="00000000">
        <w:rPr>
          <w:b w:val="1"/>
          <w:i w:val="1"/>
          <w:sz w:val="28"/>
          <w:szCs w:val="28"/>
          <w:rtl w:val="0"/>
        </w:rPr>
        <w:t xml:space="preserve">role playing game</w:t>
      </w:r>
      <w:r w:rsidDel="00000000" w:rsidR="00000000" w:rsidRPr="00000000">
        <w:rPr>
          <w:b w:val="1"/>
          <w:sz w:val="28"/>
          <w:szCs w:val="28"/>
          <w:rtl w:val="0"/>
        </w:rPr>
        <w:t xml:space="preserve"> en México y Chile</w:t>
      </w:r>
    </w:p>
    <w:p w:rsidR="00000000" w:rsidDel="00000000" w:rsidP="00000000" w:rsidRDefault="00000000" w:rsidRPr="00000000" w14:paraId="00000004">
      <w:pPr>
        <w:ind w:left="0" w:firstLine="0"/>
        <w:jc w:val="left"/>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rPr>
      </w:pPr>
      <w:r w:rsidDel="00000000" w:rsidR="00000000" w:rsidRPr="00000000">
        <w:rPr>
          <w:sz w:val="20"/>
          <w:szCs w:val="20"/>
          <w:rtl w:val="0"/>
        </w:rPr>
        <w:t xml:space="preserve">Con este esfuerzo, la mundialmente reconocida marca de entretenimiento refuerza su compromiso por llevar a Magic:The Gathering y </w:t>
      </w:r>
      <w:r w:rsidDel="00000000" w:rsidR="00000000" w:rsidRPr="00000000">
        <w:rPr>
          <w:sz w:val="20"/>
          <w:szCs w:val="20"/>
          <w:rtl w:val="0"/>
        </w:rPr>
        <w:t xml:space="preserve">Dungeons &amp;</w:t>
      </w:r>
      <w:r w:rsidDel="00000000" w:rsidR="00000000" w:rsidRPr="00000000">
        <w:rPr>
          <w:sz w:val="20"/>
          <w:szCs w:val="20"/>
          <w:rtl w:val="0"/>
        </w:rPr>
        <w:t xml:space="preserve"> </w:t>
      </w:r>
      <w:r w:rsidDel="00000000" w:rsidR="00000000" w:rsidRPr="00000000">
        <w:rPr>
          <w:sz w:val="20"/>
          <w:szCs w:val="20"/>
          <w:rtl w:val="0"/>
        </w:rPr>
        <w:t xml:space="preserve">Dragons a</w:t>
      </w:r>
      <w:r w:rsidDel="00000000" w:rsidR="00000000" w:rsidRPr="00000000">
        <w:rPr>
          <w:sz w:val="20"/>
          <w:szCs w:val="20"/>
          <w:rtl w:val="0"/>
        </w:rPr>
        <w:t xml:space="preserve"> mayores audiencias. </w:t>
      </w:r>
      <w:r w:rsidDel="00000000" w:rsidR="00000000" w:rsidRPr="00000000">
        <w:rPr>
          <w:rtl w:val="0"/>
        </w:rPr>
      </w:r>
    </w:p>
    <w:p w:rsidR="00000000" w:rsidDel="00000000" w:rsidP="00000000" w:rsidRDefault="00000000" w:rsidRPr="00000000" w14:paraId="00000006">
      <w:pPr>
        <w:jc w:val="center"/>
        <w:rPr>
          <w:b w:val="1"/>
          <w:sz w:val="20"/>
          <w:szCs w:val="20"/>
        </w:rPr>
      </w:pPr>
      <w:r w:rsidDel="00000000" w:rsidR="00000000" w:rsidRPr="00000000">
        <w:rPr>
          <w:rtl w:val="0"/>
        </w:rPr>
      </w:r>
    </w:p>
    <w:p w:rsidR="00000000" w:rsidDel="00000000" w:rsidP="00000000" w:rsidRDefault="00000000" w:rsidRPr="00000000" w14:paraId="00000007">
      <w:pPr>
        <w:ind w:left="0" w:firstLine="0"/>
        <w:jc w:val="both"/>
        <w:rPr>
          <w:sz w:val="20"/>
          <w:szCs w:val="20"/>
        </w:rPr>
      </w:pPr>
      <w:r w:rsidDel="00000000" w:rsidR="00000000" w:rsidRPr="00000000">
        <w:rPr>
          <w:b w:val="1"/>
          <w:i w:val="1"/>
          <w:sz w:val="20"/>
          <w:szCs w:val="20"/>
          <w:rtl w:val="0"/>
        </w:rPr>
        <w:t xml:space="preserve">Ciudad de México, </w:t>
      </w:r>
      <w:r w:rsidDel="00000000" w:rsidR="00000000" w:rsidRPr="00000000">
        <w:rPr>
          <w:b w:val="1"/>
          <w:i w:val="1"/>
          <w:sz w:val="20"/>
          <w:szCs w:val="20"/>
          <w:rtl w:val="0"/>
        </w:rPr>
        <w:t xml:space="preserve">27</w:t>
      </w:r>
      <w:r w:rsidDel="00000000" w:rsidR="00000000" w:rsidRPr="00000000">
        <w:rPr>
          <w:b w:val="1"/>
          <w:i w:val="1"/>
          <w:sz w:val="20"/>
          <w:szCs w:val="20"/>
          <w:rtl w:val="0"/>
        </w:rPr>
        <w:t xml:space="preserve"> de abril de 2022.-</w:t>
      </w:r>
      <w:r w:rsidDel="00000000" w:rsidR="00000000" w:rsidRPr="00000000">
        <w:rPr>
          <w:sz w:val="20"/>
          <w:szCs w:val="20"/>
          <w:rtl w:val="0"/>
        </w:rPr>
        <w:t xml:space="preserve"> Wizards of the Coast, la reconocida familia de estudios que se especializa en crear juegos de rol y cartas intercambiables</w:t>
      </w:r>
      <w:r w:rsidDel="00000000" w:rsidR="00000000" w:rsidRPr="00000000">
        <w:rPr>
          <w:sz w:val="20"/>
          <w:szCs w:val="20"/>
          <w:rtl w:val="0"/>
        </w:rPr>
        <w:t xml:space="preserve"> </w:t>
      </w:r>
      <w:r w:rsidDel="00000000" w:rsidR="00000000" w:rsidRPr="00000000">
        <w:rPr>
          <w:sz w:val="20"/>
          <w:szCs w:val="20"/>
          <w:rtl w:val="0"/>
        </w:rPr>
        <w:t xml:space="preserve">para todo tipo de jugadores, anuncia su </w:t>
      </w:r>
      <w:r w:rsidDel="00000000" w:rsidR="00000000" w:rsidRPr="00000000">
        <w:rPr>
          <w:sz w:val="20"/>
          <w:szCs w:val="20"/>
          <w:highlight w:val="white"/>
          <w:rtl w:val="0"/>
        </w:rPr>
        <w:t xml:space="preserve">alianza </w:t>
      </w:r>
      <w:r w:rsidDel="00000000" w:rsidR="00000000" w:rsidRPr="00000000">
        <w:rPr>
          <w:sz w:val="20"/>
          <w:szCs w:val="20"/>
          <w:rtl w:val="0"/>
        </w:rPr>
        <w:t xml:space="preserve">con </w:t>
      </w:r>
      <w:hyperlink r:id="rId6">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agencia regional de comunicación estratégica, con el firme objetivo de incrementar el impacto e interés de su oferta de entretenimiento en potenciales y actuales jugadores de México y Chile. </w:t>
      </w:r>
    </w:p>
    <w:p w:rsidR="00000000" w:rsidDel="00000000" w:rsidP="00000000" w:rsidRDefault="00000000" w:rsidRPr="00000000" w14:paraId="00000008">
      <w:pPr>
        <w:ind w:left="0" w:firstLine="0"/>
        <w:jc w:val="both"/>
        <w:rPr>
          <w:sz w:val="20"/>
          <w:szCs w:val="20"/>
        </w:rPr>
      </w:pPr>
      <w:r w:rsidDel="00000000" w:rsidR="00000000" w:rsidRPr="00000000">
        <w:rPr>
          <w:rtl w:val="0"/>
        </w:rPr>
      </w:r>
    </w:p>
    <w:p w:rsidR="00000000" w:rsidDel="00000000" w:rsidP="00000000" w:rsidRDefault="00000000" w:rsidRPr="00000000" w14:paraId="00000009">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Estamos emocionados de trabajar con another y sabemos que superaremos las expectativas. Se aproximan acciones y productos interesantes para todos nuestros jugadores, y confiamos plenamente en las capacidades y el talento de la agencia para reforzar nuestro liderazgo en la industria del entretenimiento global</w:t>
      </w:r>
      <w:r w:rsidDel="00000000" w:rsidR="00000000" w:rsidRPr="00000000">
        <w:rPr>
          <w:sz w:val="20"/>
          <w:szCs w:val="20"/>
          <w:rtl w:val="0"/>
        </w:rPr>
        <w:t xml:space="preserve">", comentó Annette Escalante, Community Manager en Wizards of the Coast para la región.</w:t>
      </w:r>
    </w:p>
    <w:p w:rsidR="00000000" w:rsidDel="00000000" w:rsidP="00000000" w:rsidRDefault="00000000" w:rsidRPr="00000000" w14:paraId="0000000A">
      <w:pPr>
        <w:ind w:left="0" w:firstLine="0"/>
        <w:jc w:val="both"/>
        <w:rPr>
          <w:sz w:val="20"/>
          <w:szCs w:val="20"/>
        </w:rPr>
      </w:pPr>
      <w:r w:rsidDel="00000000" w:rsidR="00000000" w:rsidRPr="00000000">
        <w:rPr>
          <w:rtl w:val="0"/>
        </w:rPr>
      </w:r>
    </w:p>
    <w:p w:rsidR="00000000" w:rsidDel="00000000" w:rsidP="00000000" w:rsidRDefault="00000000" w:rsidRPr="00000000" w14:paraId="0000000B">
      <w:pPr>
        <w:ind w:left="0" w:firstLine="0"/>
        <w:jc w:val="both"/>
        <w:rPr>
          <w:sz w:val="20"/>
          <w:szCs w:val="20"/>
        </w:rPr>
      </w:pPr>
      <w:r w:rsidDel="00000000" w:rsidR="00000000" w:rsidRPr="00000000">
        <w:rPr>
          <w:sz w:val="20"/>
          <w:szCs w:val="20"/>
          <w:rtl w:val="0"/>
        </w:rPr>
        <w:t xml:space="preserve">Wizards of the Coast es una división de Hasbro que inició operaciones en 1990. Tiene más de 6,800 tiendas de juegos en 70 países alrededor del mundo, con un aproximado de 35 millones de usuarios activos. Sus principales títulos son Magic: The Gathering, juego que inventó la categoría de </w:t>
      </w:r>
      <w:r w:rsidDel="00000000" w:rsidR="00000000" w:rsidRPr="00000000">
        <w:rPr>
          <w:i w:val="1"/>
          <w:sz w:val="20"/>
          <w:szCs w:val="20"/>
          <w:rtl w:val="0"/>
        </w:rPr>
        <w:t xml:space="preserve">Trading Card Game</w:t>
      </w:r>
      <w:r w:rsidDel="00000000" w:rsidR="00000000" w:rsidRPr="00000000">
        <w:rPr>
          <w:sz w:val="20"/>
          <w:szCs w:val="20"/>
          <w:rtl w:val="0"/>
        </w:rPr>
        <w:t xml:space="preserve"> (TCG), y Dungeons &amp; Dragons, formato pionero de los populares juegos de rol. </w:t>
      </w:r>
    </w:p>
    <w:p w:rsidR="00000000" w:rsidDel="00000000" w:rsidP="00000000" w:rsidRDefault="00000000" w:rsidRPr="00000000" w14:paraId="0000000C">
      <w:pPr>
        <w:ind w:left="0" w:firstLine="0"/>
        <w:jc w:val="both"/>
        <w:rPr>
          <w:sz w:val="20"/>
          <w:szCs w:val="20"/>
        </w:rPr>
      </w:pPr>
      <w:r w:rsidDel="00000000" w:rsidR="00000000" w:rsidRPr="00000000">
        <w:rPr>
          <w:rtl w:val="0"/>
        </w:rPr>
      </w:r>
    </w:p>
    <w:p w:rsidR="00000000" w:rsidDel="00000000" w:rsidP="00000000" w:rsidRDefault="00000000" w:rsidRPr="00000000" w14:paraId="0000000D">
      <w:pPr>
        <w:ind w:left="0" w:firstLine="0"/>
        <w:jc w:val="both"/>
        <w:rPr>
          <w:sz w:val="20"/>
          <w:szCs w:val="20"/>
        </w:rPr>
      </w:pPr>
      <w:r w:rsidDel="00000000" w:rsidR="00000000" w:rsidRPr="00000000">
        <w:rPr>
          <w:sz w:val="20"/>
          <w:szCs w:val="20"/>
          <w:rtl w:val="0"/>
        </w:rPr>
        <w:t xml:space="preserve">La marca eligió a </w:t>
      </w:r>
      <w:hyperlink r:id="rId7">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como su nueva agencia para aumentar su alcance, fortalecer sus actividades de relaciones públicas e impulsar la sinergia con medios de comunicación en el marco de su 30 aniversario. El propósito de la compañía es hacer llegar el mensaje de que los juegos son para todo el público y la familia. Cualquier persona sin importar su edad, género o profesión puede disfrutar de la magia de encarnar a un héroe o heroína en mundos fantásticos en donde la diversión nunca acaba. </w:t>
      </w:r>
    </w:p>
    <w:p w:rsidR="00000000" w:rsidDel="00000000" w:rsidP="00000000" w:rsidRDefault="00000000" w:rsidRPr="00000000" w14:paraId="0000000E">
      <w:pPr>
        <w:ind w:left="0" w:firstLine="0"/>
        <w:jc w:val="both"/>
        <w:rPr>
          <w:sz w:val="20"/>
          <w:szCs w:val="20"/>
        </w:rPr>
      </w:pPr>
      <w:r w:rsidDel="00000000" w:rsidR="00000000" w:rsidRPr="00000000">
        <w:rPr>
          <w:rtl w:val="0"/>
        </w:rPr>
      </w:r>
    </w:p>
    <w:p w:rsidR="00000000" w:rsidDel="00000000" w:rsidP="00000000" w:rsidRDefault="00000000" w:rsidRPr="00000000" w14:paraId="0000000F">
      <w:pPr>
        <w:ind w:left="0" w:firstLine="0"/>
        <w:jc w:val="both"/>
        <w:rPr>
          <w:i w:val="1"/>
          <w:sz w:val="20"/>
          <w:szCs w:val="20"/>
          <w:highlight w:val="yellow"/>
        </w:rPr>
      </w:pPr>
      <w:r w:rsidDel="00000000" w:rsidR="00000000" w:rsidRPr="00000000">
        <w:rPr>
          <w:i w:val="1"/>
          <w:sz w:val="20"/>
          <w:szCs w:val="20"/>
          <w:rtl w:val="0"/>
        </w:rPr>
        <w:t xml:space="preserve">“Nos entusiasma mucho colaborar con un referente en el entretenimiento mundial. Estamos convencidos de que contamos con el conocimiento, el equipo y la experiencia para que Wizards of the Coast alcance y sobrepase sus objetivos. Ello a través de la creatividad e ideas estratégicas de comunicación que serán revolucionarias. Este desafío cimentará una nueva etapa de enormes resultados para la marca”, dijo Jaspar Eyears, CEO de another. </w:t>
      </w: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rtl w:val="0"/>
        </w:rPr>
      </w:r>
    </w:p>
    <w:p w:rsidR="00000000" w:rsidDel="00000000" w:rsidP="00000000" w:rsidRDefault="00000000" w:rsidRPr="00000000" w14:paraId="00000011">
      <w:pPr>
        <w:ind w:left="0" w:firstLine="0"/>
        <w:jc w:val="both"/>
        <w:rPr>
          <w:sz w:val="20"/>
          <w:szCs w:val="20"/>
        </w:rPr>
      </w:pPr>
      <w:r w:rsidDel="00000000" w:rsidR="00000000" w:rsidRPr="00000000">
        <w:rPr>
          <w:sz w:val="20"/>
          <w:szCs w:val="20"/>
          <w:rtl w:val="0"/>
        </w:rPr>
        <w:t xml:space="preserve">Con esta </w:t>
      </w:r>
      <w:r w:rsidDel="00000000" w:rsidR="00000000" w:rsidRPr="00000000">
        <w:rPr>
          <w:sz w:val="20"/>
          <w:szCs w:val="20"/>
          <w:rtl w:val="0"/>
        </w:rPr>
        <w:t xml:space="preserve">colaboración</w:t>
      </w:r>
      <w:r w:rsidDel="00000000" w:rsidR="00000000" w:rsidRPr="00000000">
        <w:rPr>
          <w:sz w:val="20"/>
          <w:szCs w:val="20"/>
          <w:rtl w:val="0"/>
        </w:rPr>
        <w:t xml:space="preserve">, </w:t>
      </w:r>
      <w:hyperlink r:id="rId8">
        <w:r w:rsidDel="00000000" w:rsidR="00000000" w:rsidRPr="00000000">
          <w:rPr>
            <w:b w:val="1"/>
            <w:i w:val="1"/>
            <w:color w:val="1155cc"/>
            <w:sz w:val="20"/>
            <w:szCs w:val="20"/>
            <w:u w:val="single"/>
            <w:rtl w:val="0"/>
          </w:rPr>
          <w:t xml:space="preserve">another</w:t>
        </w:r>
      </w:hyperlink>
      <w:r w:rsidDel="00000000" w:rsidR="00000000" w:rsidRPr="00000000">
        <w:rPr>
          <w:b w:val="1"/>
          <w:i w:val="1"/>
          <w:sz w:val="20"/>
          <w:szCs w:val="20"/>
          <w:rtl w:val="0"/>
        </w:rPr>
        <w:t xml:space="preserve"> </w:t>
      </w:r>
      <w:r w:rsidDel="00000000" w:rsidR="00000000" w:rsidRPr="00000000">
        <w:rPr>
          <w:sz w:val="20"/>
          <w:szCs w:val="20"/>
          <w:rtl w:val="0"/>
        </w:rPr>
        <w:t xml:space="preserve">refuerza su liderazgo en desarrollar estrategias de comunicación </w:t>
      </w:r>
      <w:r w:rsidDel="00000000" w:rsidR="00000000" w:rsidRPr="00000000">
        <w:rPr>
          <w:sz w:val="20"/>
          <w:szCs w:val="20"/>
          <w:rtl w:val="0"/>
        </w:rPr>
        <w:t xml:space="preserve">para el sector</w:t>
      </w:r>
      <w:r w:rsidDel="00000000" w:rsidR="00000000" w:rsidRPr="00000000">
        <w:rPr>
          <w:sz w:val="20"/>
          <w:szCs w:val="20"/>
          <w:rtl w:val="0"/>
        </w:rPr>
        <w:t xml:space="preserve"> de entretenimiento al trabajar con marcas icónicas de esta industria</w:t>
      </w:r>
      <w:r w:rsidDel="00000000" w:rsidR="00000000" w:rsidRPr="00000000">
        <w:rPr>
          <w:sz w:val="20"/>
          <w:szCs w:val="20"/>
          <w:rtl w:val="0"/>
        </w:rPr>
        <w:t xml:space="preserve">, las cuales han marcado un antes y un después de su aparición en el mercado.</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12">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3">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4">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5">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6">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7">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8">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9">
      <w:pPr>
        <w:spacing w:line="342.85714285714283" w:lineRule="auto"/>
        <w:jc w:val="both"/>
        <w:rPr>
          <w:sz w:val="20"/>
          <w:szCs w:val="20"/>
        </w:rPr>
      </w:pPr>
      <w:r w:rsidDel="00000000" w:rsidR="00000000" w:rsidRPr="00000000">
        <w:rPr>
          <w:rtl w:val="0"/>
        </w:rPr>
      </w:r>
    </w:p>
    <w:p w:rsidR="00000000" w:rsidDel="00000000" w:rsidP="00000000" w:rsidRDefault="00000000" w:rsidRPr="00000000" w14:paraId="0000001A">
      <w:pPr>
        <w:spacing w:line="342.85714285714283" w:lineRule="auto"/>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B">
      <w:pPr>
        <w:spacing w:line="342.85714285714283" w:lineRule="auto"/>
        <w:jc w:val="both"/>
        <w:rPr>
          <w:color w:val="2b2b2b"/>
          <w:sz w:val="20"/>
          <w:szCs w:val="20"/>
        </w:rPr>
      </w:pPr>
      <w:r w:rsidDel="00000000" w:rsidR="00000000" w:rsidRPr="00000000">
        <w:rPr>
          <w:rtl w:val="0"/>
        </w:rPr>
      </w:r>
    </w:p>
    <w:p w:rsidR="00000000" w:rsidDel="00000000" w:rsidP="00000000" w:rsidRDefault="00000000" w:rsidRPr="00000000" w14:paraId="0000001C">
      <w:pPr>
        <w:spacing w:line="240" w:lineRule="auto"/>
        <w:jc w:val="both"/>
        <w:rPr>
          <w:color w:val="2b2b2b"/>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9">
        <w:r w:rsidDel="00000000" w:rsidR="00000000" w:rsidRPr="00000000">
          <w:rPr>
            <w:color w:val="6e64da"/>
            <w:sz w:val="20"/>
            <w:szCs w:val="20"/>
            <w:rtl w:val="0"/>
          </w:rPr>
          <w:t xml:space="preserve">www.wizards.com</w:t>
        </w:r>
      </w:hyperlink>
      <w:r w:rsidDel="00000000" w:rsidR="00000000" w:rsidRPr="00000000">
        <w:rPr>
          <w:color w:val="2b2b2b"/>
          <w:sz w:val="20"/>
          <w:szCs w:val="20"/>
          <w:highlight w:val="white"/>
          <w:rtl w:val="0"/>
        </w:rPr>
        <w:t xml:space="preserve">.</w:t>
      </w:r>
    </w:p>
    <w:p w:rsidR="00000000" w:rsidDel="00000000" w:rsidP="00000000" w:rsidRDefault="00000000" w:rsidRPr="00000000" w14:paraId="0000001D">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E">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w:t>
      </w:r>
    </w:p>
    <w:p w:rsidR="00000000" w:rsidDel="00000000" w:rsidP="00000000" w:rsidRDefault="00000000" w:rsidRPr="00000000" w14:paraId="00000020">
      <w:pPr>
        <w:spacing w:line="240" w:lineRule="auto"/>
        <w:jc w:val="both"/>
        <w:rPr>
          <w:b w:val="1"/>
          <w:sz w:val="20"/>
          <w:szCs w:val="20"/>
          <w:u w:val="single"/>
        </w:rPr>
      </w:pPr>
      <w:r w:rsidDel="00000000" w:rsidR="00000000" w:rsidRPr="00000000">
        <w:rPr>
          <w:sz w:val="20"/>
          <w:szCs w:val="20"/>
          <w:rtl w:val="0"/>
        </w:rPr>
        <w:t xml:space="preserve">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 </w:t>
      </w:r>
      <w:hyperlink r:id="rId10">
        <w:r w:rsidDel="00000000" w:rsidR="00000000" w:rsidRPr="00000000">
          <w:rPr>
            <w:color w:val="6e64da"/>
            <w:sz w:val="20"/>
            <w:szCs w:val="20"/>
            <w:rtl w:val="0"/>
          </w:rPr>
          <w:t xml:space="preserve">www.hasbro.com</w:t>
        </w:r>
      </w:hyperlink>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23">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r w:rsidDel="00000000" w:rsidR="00000000" w:rsidRPr="00000000">
        <w:rPr>
          <w:b w:val="1"/>
          <w:sz w:val="20"/>
          <w:szCs w:val="20"/>
          <w:rtl w:val="0"/>
        </w:rPr>
        <w:t xml:space="preserve">another</w:t>
      </w:r>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24">
      <w:pPr>
        <w:widowControl w:val="0"/>
        <w:jc w:val="both"/>
        <w:rPr>
          <w:sz w:val="20"/>
          <w:szCs w:val="20"/>
        </w:rPr>
      </w:pPr>
      <w:r w:rsidDel="00000000" w:rsidR="00000000" w:rsidRPr="00000000">
        <w:rPr>
          <w:rtl w:val="0"/>
        </w:rPr>
      </w:r>
    </w:p>
    <w:p w:rsidR="00000000" w:rsidDel="00000000" w:rsidP="00000000" w:rsidRDefault="00000000" w:rsidRPr="00000000" w14:paraId="00000025">
      <w:pPr>
        <w:widowControl w:val="0"/>
        <w:jc w:val="both"/>
        <w:rPr>
          <w:b w:val="1"/>
          <w:sz w:val="20"/>
          <w:szCs w:val="20"/>
        </w:rPr>
      </w:pPr>
      <w:r w:rsidDel="00000000" w:rsidR="00000000" w:rsidRPr="00000000">
        <w:rPr>
          <w:sz w:val="20"/>
          <w:szCs w:val="20"/>
          <w:rtl w:val="0"/>
        </w:rPr>
        <w:t xml:space="preserve">Para más información visita </w:t>
      </w:r>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8">
      <w:pPr>
        <w:spacing w:line="240" w:lineRule="auto"/>
        <w:ind w:right="140"/>
        <w:jc w:val="both"/>
        <w:rPr>
          <w:sz w:val="20"/>
          <w:szCs w:val="20"/>
          <w:highlight w:val="white"/>
        </w:rPr>
      </w:pPr>
      <w:r w:rsidDel="00000000" w:rsidR="00000000" w:rsidRPr="00000000">
        <w:rPr>
          <w:sz w:val="20"/>
          <w:szCs w:val="20"/>
          <w:highlight w:val="white"/>
          <w:rtl w:val="0"/>
        </w:rPr>
        <w:t xml:space="preserve">Rosa Torres,</w:t>
      </w:r>
      <w:r w:rsidDel="00000000" w:rsidR="00000000" w:rsidRPr="00000000">
        <w:rPr>
          <w:sz w:val="20"/>
          <w:szCs w:val="20"/>
          <w:highlight w:val="white"/>
          <w:rtl w:val="0"/>
        </w:rPr>
        <w:t xml:space="preserve"> Account Executive </w:t>
      </w:r>
    </w:p>
    <w:p w:rsidR="00000000" w:rsidDel="00000000" w:rsidP="00000000" w:rsidRDefault="00000000" w:rsidRPr="00000000" w14:paraId="00000029">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16">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2A">
      <w:pPr>
        <w:spacing w:line="240" w:lineRule="auto"/>
        <w:ind w:right="140"/>
        <w:jc w:val="both"/>
        <w:rPr>
          <w:sz w:val="20"/>
          <w:szCs w:val="20"/>
          <w:highlight w:val="white"/>
        </w:rPr>
      </w:pPr>
      <w:r w:rsidDel="00000000" w:rsidR="00000000" w:rsidRPr="00000000">
        <w:rPr>
          <w:sz w:val="20"/>
          <w:szCs w:val="20"/>
          <w:highlight w:val="white"/>
          <w:rtl w:val="0"/>
        </w:rPr>
        <w:t xml:space="preserve">Brenda Ricaño, PR Manager</w:t>
      </w:r>
    </w:p>
    <w:p w:rsidR="00000000" w:rsidDel="00000000" w:rsidP="00000000" w:rsidRDefault="00000000" w:rsidRPr="00000000" w14:paraId="0000002B">
      <w:pPr>
        <w:spacing w:line="240" w:lineRule="auto"/>
        <w:ind w:right="140"/>
        <w:jc w:val="both"/>
        <w:rPr>
          <w:color w:val="1155cc"/>
          <w:sz w:val="20"/>
          <w:szCs w:val="20"/>
          <w:u w:val="single"/>
        </w:rPr>
      </w:pPr>
      <w:r w:rsidDel="00000000" w:rsidR="00000000" w:rsidRPr="00000000">
        <w:rPr>
          <w:sz w:val="20"/>
          <w:szCs w:val="20"/>
          <w:highlight w:val="white"/>
          <w:rtl w:val="0"/>
        </w:rPr>
        <w:t xml:space="preserve">55 44 77 64 23|</w:t>
      </w:r>
      <w:r w:rsidDel="00000000" w:rsidR="00000000" w:rsidRPr="00000000">
        <w:rPr>
          <w:color w:val="263238"/>
          <w:sz w:val="20"/>
          <w:szCs w:val="20"/>
          <w:rtl w:val="0"/>
        </w:rPr>
        <w:t xml:space="preserve"> </w:t>
      </w:r>
      <w:hyperlink r:id="rId17">
        <w:r w:rsidDel="00000000" w:rsidR="00000000" w:rsidRPr="00000000">
          <w:rPr>
            <w:color w:val="1155cc"/>
            <w:sz w:val="20"/>
            <w:szCs w:val="20"/>
            <w:u w:val="single"/>
            <w:rtl w:val="0"/>
          </w:rPr>
          <w:t xml:space="preserve">brenda.ricano@another.co</w:t>
        </w:r>
      </w:hyperlink>
      <w:r w:rsidDel="00000000" w:rsidR="00000000" w:rsidRPr="00000000">
        <w:rPr>
          <w:color w:val="263238"/>
          <w:sz w:val="20"/>
          <w:szCs w:val="20"/>
          <w:rtl w:val="0"/>
        </w:rPr>
        <w:t xml:space="preserve"> </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40" w:lineRule="auto"/>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3657600</wp:posOffset>
          </wp:positionH>
          <wp:positionV relativeFrom="paragraph">
            <wp:posOffset>-342899</wp:posOffset>
          </wp:positionV>
          <wp:extent cx="3014663" cy="966824"/>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14663" cy="9668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-342899</wp:posOffset>
          </wp:positionV>
          <wp:extent cx="1523082" cy="800100"/>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23082"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yperlink" Target="mailto:brenda.ricano@another.co" TargetMode="External"/><Relationship Id="rId16" Type="http://schemas.openxmlformats.org/officeDocument/2006/relationships/hyperlink" Target="mailto:rosa.torres@another.co" TargetMode="External"/><Relationship Id="rId5" Type="http://schemas.openxmlformats.org/officeDocument/2006/relationships/styles" Target="styles.xml"/><Relationship Id="rId6" Type="http://schemas.openxmlformats.org/officeDocument/2006/relationships/hyperlink" Target="https://another.co/?utm_source=PR+Wizards+of+the+coast+M%C3%A9xico&amp;utm_medium=Wizards+of+the+coast+M%C3%A9xico&amp;utm_campaign=Wizards+of+the+coast+M%C3%A9xico&amp;utm_id=Mexico" TargetMode="External"/><Relationship Id="rId18" Type="http://schemas.openxmlformats.org/officeDocument/2006/relationships/header" Target="header1.xml"/><Relationship Id="rId7" Type="http://schemas.openxmlformats.org/officeDocument/2006/relationships/hyperlink" Target="https://another.co/?utm_source=PR+Wizards+of+the+coast+M%C3%A9xico&amp;utm_medium=Wizards+of+the+coast+M%C3%A9xico&amp;utm_campaign=Wizards+of+the+coast+M%C3%A9xico&amp;utm_id=Mexico" TargetMode="External"/><Relationship Id="rId8" Type="http://schemas.openxmlformats.org/officeDocument/2006/relationships/hyperlink" Target="https://another.co/?utm_source=PR+Wizards+of+the+coast+M%C3%A9xico&amp;utm_medium=Wizards+of+the+coast+M%C3%A9xico&amp;utm_campaign=Wizards+of+the+coast+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